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i/>
        </w:rPr>
      </w:pPr>
      <w:r/>
      <w:bookmarkStart w:id="0" w:name="_GoBack"/>
      <w:r/>
      <w:bookmarkEnd w:id="0"/>
      <w:r>
        <w:rPr>
          <w:i/>
        </w:rPr>
        <w:t xml:space="preserve">Groupe de travail Accompagnement des élèves – Année 2018-2019</w:t>
      </w:r>
      <w:r>
        <mc:AlternateContent>
          <mc:Choice Requires="wpg">
            <w:drawing>
              <wp:anchor xmlns:wp="http://schemas.openxmlformats.org/drawingml/2006/wordprocessingDrawing" distT="0" distB="0" distL="0" distR="0" simplePos="0" relativeHeight="251658240" behindDoc="0" locked="0" layoutInCell="1" allowOverlap="1">
                <wp:simplePos x="0" y="0"/>
                <wp:positionH relativeFrom="column">
                  <wp:posOffset>0</wp:posOffset>
                </wp:positionH>
                <wp:positionV relativeFrom="paragraph">
                  <wp:posOffset>635</wp:posOffset>
                </wp:positionV>
                <wp:extent cx="1245870" cy="1256665"/>
                <wp:effectExtent l="0" t="0" r="0" b="0"/>
                <wp:wrapSquare wrapText="bothSides"/>
                <wp:docPr id="1" name="image1.jpg" hidden="false"/>
                <wp:cNvGraphicFramePr/>
                <a:graphic xmlns:a="http://schemas.openxmlformats.org/drawingml/2006/main">
                  <a:graphicData uri="http://schemas.openxmlformats.org/drawingml/2006/picture">
                    <pic:pic xmlns:pic="http://schemas.openxmlformats.org/drawingml/2006/picture">
                      <pic:nvPicPr>
                        <pic:cNvPr id="4" name="image1.jpg" hidden="0"/>
                        <pic:cNvPicPr/>
                      </pic:nvPicPr>
                      <pic:blipFill>
                        <a:blip r:embed="rId8"/>
                        <a:stretch/>
                      </pic:blipFill>
                      <pic:spPr bwMode="auto">
                        <a:xfrm>
                          <a:off x="0" y="0"/>
                          <a:ext cx="1245870" cy="1256664"/>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8240;o:allowoverlap:true;o:allowincell:true;mso-position-horizontal-relative:text;margin-left:0.0pt;mso-position-horizontal:absolute;mso-position-vertical-relative:text;margin-top:0.0pt;mso-position-vertical:absolute;width:98.1pt;height:98.9pt;">
                <v:path textboxrect="0,0,0,0"/>
                <v:imagedata r:id="rId8" o:title=""/>
              </v:shape>
            </w:pict>
          </mc:Fallback>
        </mc:AlternateContent>
      </w:r>
      <w:r/>
    </w:p>
    <w:p>
      <w:r/>
      <w:r/>
    </w:p>
    <w:p>
      <w:r/>
      <w:r/>
    </w:p>
    <w:p>
      <w:pPr>
        <w:jc w:val="center"/>
        <w:rPr>
          <w:b/>
          <w:color w:val="0066CC"/>
          <w:sz w:val="28"/>
          <w:szCs w:val="28"/>
        </w:rPr>
      </w:pPr>
      <w:r>
        <w:rPr>
          <w:b/>
          <w:color w:val="0066CC"/>
          <w:sz w:val="28"/>
          <w:szCs w:val="28"/>
        </w:rPr>
        <w:t xml:space="preserve">Réaliser l’alphabet phonétique de la classe</w:t>
      </w:r>
      <w:r/>
    </w:p>
    <w:p>
      <w:r/>
      <w:r/>
    </w:p>
    <w:p>
      <w:r/>
      <w:r/>
    </w:p>
    <w:p>
      <w:r/>
      <w:r/>
    </w:p>
    <w:p>
      <w:r/>
      <w:r/>
    </w:p>
    <w:tbl>
      <w:tblPr>
        <w:tblStyle w:val="391"/>
        <w:tblW w:w="10759" w:type="dxa"/>
        <w:tblInd w:w="0" w:type="dxa"/>
        <w:tblBorders>
          <w:left w:val="single" w:color="000000" w:sz="4" w:space="0"/>
          <w:top w:val="single" w:color="000000" w:sz="4" w:space="0"/>
          <w:bottom w:val="single" w:color="000000" w:sz="4" w:space="0"/>
          <w:insideH w:val="single" w:color="000000" w:sz="4" w:space="0"/>
        </w:tblBorders>
        <w:tblLayout w:type="fixed"/>
        <w:tblLook w:val="0000" w:firstRow="0" w:lastRow="0" w:firstColumn="0" w:lastColumn="0" w:noHBand="0" w:noVBand="0"/>
      </w:tblPr>
      <w:tblGrid>
        <w:gridCol w:w="2263"/>
        <w:gridCol w:w="8496"/>
      </w:tblGrid>
      <w:tr>
        <w:trPr/>
        <w:tc>
          <w:tcPr>
            <w:shd w:val="clear" w:color="auto" w:fill="auto"/>
            <w:tcBorders>
              <w:left w:val="single" w:color="000000" w:sz="4" w:space="0"/>
              <w:top w:val="single" w:color="000000" w:sz="4" w:space="0"/>
              <w:bottom w:val="single" w:color="000000" w:sz="4" w:space="0"/>
            </w:tcBorders>
            <w:tcW w:w="2263" w:type="dxa"/>
            <w:textDirection w:val="lrTb"/>
            <w:noWrap w:val="false"/>
          </w:tcPr>
          <w:p>
            <w:r>
              <w:t xml:space="preserve">Finalités / </w:t>
            </w:r>
            <w:r/>
          </w:p>
          <w:p>
            <w:r>
              <w:t xml:space="preserve">réalisations attendue</w:t>
            </w:r>
            <w:r/>
          </w:p>
        </w:tc>
        <w:tc>
          <w:tcPr>
            <w:shd w:val="clear" w:color="auto" w:fill="auto"/>
            <w:tcBorders>
              <w:top w:val="single" w:color="000000" w:sz="4" w:space="0"/>
              <w:right w:val="single" w:color="000000" w:sz="4" w:space="0"/>
              <w:bottom w:val="single" w:color="000000" w:sz="4" w:space="0"/>
            </w:tcBorders>
            <w:tcW w:w="8496" w:type="dxa"/>
            <w:textDirection w:val="lrTb"/>
            <w:noWrap w:val="false"/>
          </w:tcPr>
          <w:p>
            <w:r>
              <w:t xml:space="preserve">Créer un alphabet phonétique collectif qui sera une aide visuelle tout au long de l’année</w:t>
            </w:r>
            <w:r>
              <w:t xml:space="preserve">.</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Mots-clef</w:t>
            </w:r>
            <w:r/>
          </w:p>
        </w:tc>
        <w:tc>
          <w:tcPr>
            <w:shd w:val="clear" w:color="auto" w:fill="auto"/>
            <w:tcBorders>
              <w:right w:val="single" w:color="000000" w:sz="4" w:space="0"/>
              <w:bottom w:val="single" w:color="000000" w:sz="4" w:space="0"/>
            </w:tcBorders>
            <w:tcW w:w="8496" w:type="dxa"/>
            <w:textDirection w:val="lrTb"/>
            <w:noWrap w:val="false"/>
          </w:tcPr>
          <w:p>
            <w:pPr>
              <w:rPr>
                <w:color w:val="000000"/>
              </w:rPr>
            </w:pPr>
            <w:r>
              <w:t xml:space="preserve">phonétique / prononciation / sons / aide visuelle / alphabet</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Compétences </w:t>
            </w:r>
            <w:r/>
          </w:p>
        </w:tc>
        <w:tc>
          <w:tcPr>
            <w:shd w:val="clear" w:color="auto" w:fill="auto"/>
            <w:tcBorders>
              <w:right w:val="single" w:color="000000" w:sz="4" w:space="0"/>
              <w:bottom w:val="single" w:color="000000" w:sz="4" w:space="0"/>
            </w:tcBorders>
            <w:tcW w:w="8496" w:type="dxa"/>
            <w:textDirection w:val="lrTb"/>
            <w:noWrap w:val="false"/>
          </w:tcPr>
          <w:p>
            <w:r>
              <w:t xml:space="preserve">Domaine 1: Composante 2: Comprendre et s’exprimer en utilisant une langue étrangère </w:t>
            </w:r>
            <w:r/>
          </w:p>
          <w:p>
            <w:r>
              <w:t xml:space="preserve">Domaine 2: Se constituer des outils de travail personnel</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Niveaux</w:t>
            </w:r>
            <w:r/>
          </w:p>
        </w:tc>
        <w:tc>
          <w:tcPr>
            <w:shd w:val="clear" w:color="auto" w:fill="auto"/>
            <w:tcBorders>
              <w:right w:val="single" w:color="000000" w:sz="4" w:space="0"/>
              <w:bottom w:val="single" w:color="000000" w:sz="4" w:space="0"/>
            </w:tcBorders>
            <w:tcW w:w="8496" w:type="dxa"/>
            <w:textDirection w:val="lrTb"/>
            <w:noWrap w:val="false"/>
          </w:tcPr>
          <w:p>
            <w:r>
              <w:t xml:space="preserve">6ème</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Supports et activités</w:t>
            </w:r>
            <w:r/>
          </w:p>
        </w:tc>
        <w:tc>
          <w:tcPr>
            <w:shd w:val="clear" w:color="auto" w:fill="auto"/>
            <w:tcBorders>
              <w:right w:val="single" w:color="000000" w:sz="4" w:space="0"/>
              <w:bottom w:val="single" w:color="000000" w:sz="4" w:space="0"/>
            </w:tcBorders>
            <w:tcW w:w="8496" w:type="dxa"/>
            <w:textDirection w:val="lrTb"/>
            <w:noWrap w:val="false"/>
          </w:tcPr>
          <w:p>
            <w:r>
              <w:t xml:space="preserve">Annexe 1</w:t>
            </w:r>
            <w:r>
              <w:t xml:space="preserve"> : fichier des dessins</w:t>
            </w:r>
            <w:r/>
          </w:p>
          <w:p>
            <w:r>
              <w:t xml:space="preserve">Annexe 2 : fichier des mots</w:t>
            </w:r>
            <w:r/>
          </w:p>
          <w:p>
            <w:r>
              <w:t xml:space="preserve">Annexe 3 : fichier des sons / signes phonétiques</w:t>
            </w:r>
            <w:r/>
          </w:p>
          <w:p>
            <w:r>
              <w:t xml:space="preserve">Annexe 4 : fiche de guidage pour l’élève</w:t>
            </w:r>
            <w:r/>
          </w:p>
          <w:p>
            <w:r>
              <w:t xml:space="preserve">Annexe 5 : document élève rassemblant tous les mots</w:t>
            </w:r>
            <w:r>
              <w:t xml:space="preserve"> référence / The sounds of English</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Auteur(s)</w:t>
            </w:r>
            <w:r/>
          </w:p>
        </w:tc>
        <w:tc>
          <w:tcPr>
            <w:shd w:val="clear" w:color="auto" w:fill="auto"/>
            <w:tcBorders>
              <w:right w:val="single" w:color="000000" w:sz="4" w:space="0"/>
              <w:bottom w:val="single" w:color="000000" w:sz="4" w:space="0"/>
            </w:tcBorders>
            <w:tcW w:w="8496" w:type="dxa"/>
            <w:textDirection w:val="lrTb"/>
            <w:noWrap w:val="false"/>
          </w:tcPr>
          <w:p>
            <w:r>
              <w:t xml:space="preserve">Molly Eastaff &amp; Elise Follet</w:t>
            </w:r>
            <w:r/>
          </w:p>
        </w:tc>
      </w:tr>
      <w:tr>
        <w:trPr/>
        <w:tc>
          <w:tcPr>
            <w:shd w:val="clear" w:color="auto" w:fill="auto"/>
            <w:tcBorders>
              <w:left w:val="single" w:color="000000" w:sz="4" w:space="0"/>
              <w:bottom w:val="single" w:color="000000" w:sz="4" w:space="0"/>
            </w:tcBorders>
            <w:tcW w:w="2263" w:type="dxa"/>
            <w:textDirection w:val="lrTb"/>
            <w:noWrap w:val="false"/>
          </w:tcPr>
          <w:p>
            <w:r>
              <w:t xml:space="preserve">Fiches en lien </w:t>
            </w:r>
            <w:r/>
          </w:p>
        </w:tc>
        <w:tc>
          <w:tcPr>
            <w:shd w:val="clear" w:color="auto" w:fill="auto"/>
            <w:tcBorders>
              <w:right w:val="single" w:color="000000" w:sz="4" w:space="0"/>
              <w:bottom w:val="single" w:color="000000" w:sz="4" w:space="0"/>
            </w:tcBorders>
            <w:tcW w:w="8496" w:type="dxa"/>
            <w:textDirection w:val="lrTb"/>
            <w:noWrap w:val="false"/>
          </w:tcPr>
          <w:p>
            <w:r/>
            <w:r/>
          </w:p>
        </w:tc>
      </w:tr>
    </w:tbl>
    <w:p>
      <w:pPr>
        <w:pStyle w:val="379"/>
        <w:numPr>
          <w:ilvl w:val="0"/>
          <w:numId w:val="2"/>
        </w:numPr>
        <w:spacing w:before="0"/>
      </w:pPr>
      <w:r/>
      <w:r/>
    </w:p>
    <w:p>
      <w:pPr>
        <w:pStyle w:val="379"/>
        <w:numPr>
          <w:ilvl w:val="0"/>
          <w:numId w:val="2"/>
        </w:numPr>
        <w:ind w:left="0" w:right="0" w:firstLine="0"/>
        <w:spacing w:before="0"/>
        <w:rPr>
          <w:u w:val="single"/>
        </w:rPr>
      </w:pPr>
      <w:r>
        <w:rPr>
          <w:rFonts w:ascii="Times New Roman" w:hAnsi="Times New Roman" w:cs="Times New Roman" w:eastAsia="Times New Roman"/>
          <w:sz w:val="24"/>
          <w:szCs w:val="24"/>
          <w:u w:val="none"/>
        </w:rPr>
        <w:t xml:space="preserve">Séance de création d’un outil </w:t>
      </w:r>
      <w:r>
        <w:rPr>
          <w:rFonts w:ascii="Times New Roman" w:hAnsi="Times New Roman" w:cs="Times New Roman" w:eastAsia="Times New Roman"/>
          <w:sz w:val="24"/>
          <w:szCs w:val="24"/>
          <w:u w:val="none"/>
        </w:rPr>
        <w:t xml:space="preserve">d’apprentissage</w:t>
      </w:r>
      <w:r/>
    </w:p>
    <w:p>
      <w:pPr>
        <w:rPr>
          <w:rFonts w:ascii="Times New Roman" w:hAnsi="Times New Roman" w:cs="Times New Roman" w:eastAsia="Times New Roman"/>
          <w:sz w:val="24"/>
          <w:szCs w:val="24"/>
        </w:rPr>
      </w:pPr>
      <w:r>
        <w:rPr>
          <w:rFonts w:ascii="Times New Roman" w:hAnsi="Times New Roman" w:cs="Times New Roman" w:eastAsia="Times New Roman"/>
          <w:sz w:val="24"/>
          <w:szCs w:val="24"/>
        </w:rPr>
      </w:r>
      <w:r/>
    </w:p>
    <w:p>
      <w:pPr>
        <w:rPr>
          <w:i w:val="false"/>
          <w:szCs w:val="24"/>
        </w:rPr>
      </w:pPr>
      <w:r>
        <w:rPr>
          <w:rFonts w:ascii="Times New Roman" w:hAnsi="Times New Roman" w:cs="Times New Roman" w:eastAsia="Times New Roman"/>
          <w:i w:val="false"/>
          <w:sz w:val="24"/>
          <w:szCs w:val="24"/>
        </w:rPr>
      </w:r>
      <w:r>
        <w:rPr>
          <w:i w:val="false"/>
        </w:rPr>
        <w:t xml:space="preserve">Cette activité s’adresse</w:t>
      </w:r>
      <w:r>
        <w:rPr>
          <w:i w:val="false"/>
        </w:rPr>
        <w:t xml:space="preserve"> en priorité à des élèves de 6ème dont la familiarisation avec les sons de l’anglais est nécessaire en début d’année. </w:t>
      </w:r>
      <w:r>
        <w:rPr>
          <w:i w:val="false"/>
        </w:rPr>
      </w:r>
      <w:r>
        <w:rPr>
          <w:i w:val="false"/>
        </w:rPr>
      </w:r>
    </w:p>
    <w:p>
      <w:pPr>
        <w:rPr>
          <w:i w:val="false"/>
        </w:rPr>
      </w:pPr>
      <w:r>
        <w:rPr>
          <w:i w:val="false"/>
        </w:rPr>
        <w:t xml:space="preserve">Elle </w:t>
      </w:r>
      <w:r>
        <w:rPr>
          <w:i w:val="false"/>
        </w:rPr>
        <w:t xml:space="preserve">mènera à la réalisation d’un alphabet phonétique qui viendra illustrer les murs de la salle de classe et bénéficiera donc à l’ensemble des élèves des autres niveaux.</w:t>
      </w:r>
      <w:r>
        <w:rPr>
          <w:i w:val="false"/>
        </w:rPr>
      </w:r>
      <w:r>
        <w:rPr>
          <w:i w:val="false"/>
        </w:rPr>
      </w:r>
    </w:p>
    <w:p>
      <w:pPr>
        <w:rPr>
          <w:i w:val="false"/>
        </w:rPr>
      </w:pPr>
      <w:r>
        <w:rPr>
          <w:i w:val="false"/>
        </w:rPr>
        <w:t xml:space="preserve">Contexte de la mise en œuvre</w:t>
      </w:r>
      <w:r>
        <w:rPr>
          <w:i w:val="false"/>
        </w:rPr>
        <w:t xml:space="preserve"> de cette fiche: niveau 6ème - classe entière ou demi-groupe.</w:t>
      </w:r>
      <w:r>
        <w:rPr>
          <w:i w:val="false"/>
        </w:rPr>
      </w:r>
      <w:r>
        <w:rPr>
          <w:i w:val="false"/>
        </w:rPr>
      </w:r>
    </w:p>
    <w:p>
      <w:pPr>
        <w:rPr>
          <w:b/>
        </w:rPr>
      </w:pPr>
      <w:r>
        <w:rPr>
          <w:b/>
        </w:rPr>
      </w:r>
      <w:r/>
    </w:p>
    <w:p>
      <w:pPr>
        <w:rPr>
          <w:b/>
        </w:rPr>
      </w:pPr>
      <w:r>
        <w:rPr>
          <w:b/>
        </w:rPr>
      </w:r>
      <w:r>
        <w:rPr>
          <w:b/>
        </w:rPr>
      </w:r>
    </w:p>
    <w:p>
      <w:pPr>
        <w:rPr>
          <w:b/>
          <w:color w:val="0070C0"/>
          <w:u w:val="none"/>
        </w:rPr>
      </w:pPr>
      <w:r>
        <w:rPr>
          <w:b/>
          <w:color w:val="31859A" w:themeColor="accent5" w:themeShade="BF"/>
          <w:u w:val="none"/>
        </w:rPr>
        <w:t xml:space="preserve">Temps en commun pour expliquer la séance</w:t>
      </w:r>
      <w:r>
        <w:rPr>
          <w:b/>
          <w:u w:val="single"/>
        </w:rPr>
      </w:r>
      <w:r/>
    </w:p>
    <w:p>
      <w:pPr>
        <w:rPr>
          <w:b/>
          <w:u w:val="single"/>
        </w:rPr>
      </w:pPr>
      <w:r>
        <w:rPr>
          <w:b/>
          <w:color w:val="0070C0"/>
          <w:u w:val="none"/>
        </w:rPr>
      </w:r>
      <w:r>
        <w:rPr>
          <w:b/>
          <w:color w:val="0070C0"/>
          <w:u w:val="none"/>
        </w:rPr>
      </w:r>
    </w:p>
    <w:tbl>
      <w:tblPr>
        <w:tblStyle w:val="393"/>
        <w:tblW w:w="10710" w:type="dxa"/>
        <w:tblInd w:w="10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535"/>
        <w:gridCol w:w="5175"/>
      </w:tblGrid>
      <w:tr>
        <w:trPr/>
        <w:tc>
          <w:tcPr>
            <w:shd w:val="clear" w:color="auto" w:fill="auto"/>
            <w:tcMar>
              <w:left w:w="100" w:type="dxa"/>
              <w:top w:w="100" w:type="dxa"/>
              <w:right w:w="100" w:type="dxa"/>
              <w:bottom w:w="100" w:type="dxa"/>
            </w:tcMar>
            <w:tcW w:w="5535" w:type="dxa"/>
            <w:textDirection w:val="lrTb"/>
            <w:noWrap w:val="false"/>
          </w:tcPr>
          <w:p>
            <w:r>
              <w:t xml:space="preserve">- Montrer un espace de mur libre dans la salle et expliquer aux élèves qu’ils vont réaliser un alphabet phonétique pour la salle de classe qui sera un point d’appui et d’ancrage tout au long de l’année.</w:t>
            </w:r>
            <w:r/>
          </w:p>
          <w:p>
            <w:r/>
            <w:r/>
          </w:p>
          <w:p>
            <w:r>
              <w:t xml:space="preserve">- Circuler dans la salle pour indiquer les différents pôles de travail :</w:t>
            </w:r>
            <w:r/>
          </w:p>
          <w:p>
            <w:r>
              <w:rPr>
                <w:rFonts w:ascii="Arial" w:hAnsi="Arial" w:cs="Arial"/>
              </w:rPr>
              <w:t xml:space="preserve">    </w:t>
            </w:r>
            <w:r>
              <w:t xml:space="preserve">■ table «PICTURES » /  documents en annexe 1</w:t>
            </w:r>
            <w:r/>
          </w:p>
          <w:p>
            <w:r>
              <w:t xml:space="preserve">     ■ table «WORDS»</w:t>
            </w:r>
            <w:r>
              <w:t xml:space="preserve"> / </w:t>
            </w:r>
            <w:r>
              <w:t xml:space="preserve">documents en </w:t>
            </w:r>
            <w:r>
              <w:t xml:space="preserve">annexe 2</w:t>
            </w:r>
            <w:r/>
          </w:p>
          <w:p>
            <w:r>
              <w:t xml:space="preserve">     ■ table «PHONETICS » / documents en annexe 3</w:t>
            </w:r>
            <w:r/>
          </w:p>
          <w:p>
            <w:pPr>
              <w:rPr>
                <w:lang w:val="en-GB"/>
              </w:rPr>
            </w:pPr>
            <w:r>
              <w:t xml:space="preserve">     </w:t>
            </w:r>
            <w:r>
              <w:rPr>
                <w:lang w:val="en-GB"/>
              </w:rPr>
              <w:t xml:space="preserve">■</w:t>
            </w:r>
            <w:r>
              <w:rPr>
                <w:lang w:val="en-GB"/>
              </w:rPr>
              <w:t xml:space="preserve"> ordinateur</w:t>
            </w:r>
            <w:r/>
          </w:p>
          <w:p>
            <w:pPr>
              <w:rPr>
                <w:i/>
              </w:rPr>
            </w:pPr>
            <w:r>
              <w:rPr>
                <w:i/>
              </w:rPr>
              <w:t xml:space="preserve">Tous les éléments des annexes 1, 2 et 3 auront été découpés en amont et installés sur les tables</w:t>
            </w:r>
            <w:r>
              <w:rPr>
                <w:i/>
              </w:rPr>
              <w:t xml:space="preserve">.</w:t>
            </w:r>
            <w:r/>
          </w:p>
          <w:p>
            <w:r>
              <w:t xml:space="preserve">   </w:t>
            </w:r>
            <w:r/>
          </w:p>
        </w:tc>
        <w:tc>
          <w:tcPr>
            <w:shd w:val="clear" w:color="auto" w:fill="auto"/>
            <w:tcMar>
              <w:left w:w="100" w:type="dxa"/>
              <w:top w:w="100" w:type="dxa"/>
              <w:right w:w="100" w:type="dxa"/>
              <w:bottom w:w="100" w:type="dxa"/>
            </w:tcMar>
            <w:tcW w:w="5175" w:type="dxa"/>
            <w:textDirection w:val="lrTb"/>
            <w:noWrap w:val="false"/>
          </w:tcPr>
          <w:p>
            <w:pPr>
              <w:rPr>
                <w:i/>
              </w:rPr>
            </w:pPr>
            <w:r>
              <w:rPr>
                <w:i/>
              </w:rPr>
            </w:r>
            <w:r/>
          </w:p>
          <w:p>
            <w:pPr>
              <w:rPr>
                <w:i/>
              </w:rPr>
            </w:pPr>
            <w:r>
              <w:rPr>
                <w:i/>
              </w:rPr>
              <w:t xml:space="preserve">Les élèves auront déjà été familiarisés avec l’idée que les sons de l’anglais diffèrent des sons du français</w:t>
            </w:r>
            <w:r>
              <w:rPr>
                <w:i/>
              </w:rPr>
              <w:t xml:space="preserve">.</w:t>
            </w:r>
            <w:r/>
          </w:p>
          <w:p>
            <w:pPr>
              <w:rPr>
                <w:i/>
              </w:rPr>
            </w:pPr>
            <w:r>
              <w:rPr>
                <w:i/>
              </w:rPr>
            </w:r>
            <w:r/>
          </w:p>
          <w:p>
            <w:pPr>
              <w:rPr>
                <w:i/>
              </w:rPr>
            </w:pPr>
            <w:r>
              <w:rPr>
                <w:i/>
              </w:rPr>
            </w:r>
            <w:r/>
          </w:p>
          <w:p>
            <w:pPr>
              <w:rPr>
                <w:i/>
              </w:rPr>
            </w:pPr>
            <w:r>
              <w:rPr>
                <w:i/>
              </w:rPr>
            </w:r>
            <w:r/>
          </w:p>
          <w:p>
            <w:pPr>
              <w:rPr>
                <w:i/>
              </w:rPr>
            </w:pPr>
            <w:r>
              <w:rPr>
                <w:i/>
              </w:rPr>
              <w:t xml:space="preserve">Le but est de réaliser cet alphabet phonétique en suivant des étapes très précises. Les élèves auront l’impression de suivre un véritable parcours. </w:t>
            </w:r>
            <w:r/>
          </w:p>
        </w:tc>
      </w:tr>
    </w:tbl>
    <w:p>
      <w:r/>
      <w:r/>
    </w:p>
    <w:p>
      <w:pPr>
        <w:rPr>
          <w:b/>
          <w:u w:val="single"/>
        </w:rPr>
      </w:pPr>
      <w:r>
        <w:rPr>
          <w:b/>
          <w:u w:val="single"/>
        </w:rPr>
      </w:r>
      <w:r/>
    </w:p>
    <w:p>
      <w:pPr>
        <w:rPr>
          <w:b/>
          <w:u w:val="single"/>
        </w:rPr>
      </w:pPr>
      <w:r>
        <w:rPr>
          <w:b/>
          <w:u w:val="single"/>
        </w:rPr>
      </w:r>
      <w:r/>
    </w:p>
    <w:p>
      <w:pPr>
        <w:rPr>
          <w:b/>
          <w:color w:val="31859A" w:themeColor="accent5" w:themeShade="BF"/>
          <w:u w:val="single"/>
        </w:rPr>
      </w:pPr>
      <w:r>
        <w:rPr>
          <w:b/>
          <w:color w:val="31859A" w:themeColor="accent5" w:themeShade="BF"/>
          <w:u w:val="none"/>
        </w:rPr>
        <w:t xml:space="preserve">Temps en binôme pour comprendre le parcours à suivre.</w:t>
      </w:r>
      <w:r>
        <w:rPr>
          <w:color w:val="31859A" w:themeColor="accent5" w:themeShade="BF"/>
        </w:rPr>
      </w:r>
    </w:p>
    <w:p>
      <w:r/>
      <w:r/>
    </w:p>
    <w:tbl>
      <w:tblPr>
        <w:tblStyle w:val="393"/>
        <w:tblW w:w="10710" w:type="dxa"/>
        <w:tblInd w:w="10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535"/>
        <w:gridCol w:w="5175"/>
      </w:tblGrid>
      <w:tr>
        <w:trPr/>
        <w:tc>
          <w:tcPr>
            <w:shd w:val="clear" w:color="auto" w:fill="auto"/>
            <w:tcMar>
              <w:left w:w="100" w:type="dxa"/>
              <w:top w:w="100" w:type="dxa"/>
              <w:right w:w="100" w:type="dxa"/>
              <w:bottom w:w="100" w:type="dxa"/>
            </w:tcMar>
            <w:tcW w:w="5535" w:type="dxa"/>
            <w:textDirection w:val="lrTb"/>
            <w:noWrap w:val="false"/>
          </w:tcPr>
          <w:p>
            <w:r/>
            <w:bookmarkStart w:id="1" w:name="_5pel4ysxiv35"/>
            <w:r/>
            <w:bookmarkEnd w:id="1"/>
            <w:r>
              <w:t xml:space="preserve"> </w:t>
            </w:r>
            <w:r>
              <w:t xml:space="preserve">- Distribuer aux élèves (chaque élève du binôme aura le document) la fiche permettant de prendre part à la réalisation collective de l’alphabet phonétique.</w:t>
            </w:r>
            <w:r/>
          </w:p>
          <w:p>
            <w:pPr>
              <w:rPr>
                <w:i/>
              </w:rPr>
            </w:pPr>
            <w:r>
              <w:rPr>
                <w:i/>
              </w:rPr>
              <w:t xml:space="preserve">Annexe 4</w:t>
            </w:r>
            <w:r/>
          </w:p>
          <w:p>
            <w:r>
              <w:t xml:space="preserve">Donner un petit temps de lecture des instructions.</w:t>
            </w:r>
            <w:r/>
          </w:p>
          <w:p>
            <w:r>
              <w:t xml:space="preserve">Laisser les élèves poser des questions pour lever les éventuelles incompréhensions. </w:t>
            </w:r>
            <w:r/>
          </w:p>
        </w:tc>
        <w:tc>
          <w:tcPr>
            <w:shd w:val="clear" w:color="auto" w:fill="auto"/>
            <w:tcMar>
              <w:left w:w="100" w:type="dxa"/>
              <w:top w:w="100" w:type="dxa"/>
              <w:right w:w="100" w:type="dxa"/>
              <w:bottom w:w="100" w:type="dxa"/>
            </w:tcMar>
            <w:tcW w:w="5175" w:type="dxa"/>
            <w:textDirection w:val="lrTb"/>
            <w:noWrap w:val="false"/>
          </w:tcPr>
          <w:p>
            <w:pPr>
              <w:rPr>
                <w:i/>
              </w:rPr>
            </w:pPr>
            <w:r>
              <w:rPr>
                <w:i/>
              </w:rPr>
              <w:t xml:space="preserve">Il est nécessaire que les élèves puissent visualiser en amont le parcou</w:t>
            </w:r>
            <w:r>
              <w:rPr>
                <w:i/>
              </w:rPr>
              <w:t xml:space="preserve">rs à effectuer pour accomplir leur</w:t>
            </w:r>
            <w:r>
              <w:rPr>
                <w:i/>
              </w:rPr>
              <w:t xml:space="preserve"> tâche. </w:t>
            </w:r>
            <w:r/>
          </w:p>
          <w:p>
            <w:pPr>
              <w:rPr>
                <w:i/>
              </w:rPr>
            </w:pPr>
            <w:r>
              <w:rPr>
                <w:i/>
              </w:rPr>
            </w:r>
            <w:r/>
          </w:p>
          <w:p>
            <w:pPr>
              <w:rPr>
                <w:i/>
              </w:rPr>
            </w:pPr>
            <w:r>
              <w:rPr>
                <w:i/>
              </w:rPr>
              <w:t xml:space="preserve">Il est important de laisser, autant que possible, les élèves qui auraient compris expliquer à ceux qui n’auraient pas saisi</w:t>
            </w:r>
            <w:r>
              <w:rPr>
                <w:i/>
              </w:rPr>
              <w:t xml:space="preserve"> les consignes</w:t>
            </w:r>
            <w:r>
              <w:rPr>
                <w:i/>
              </w:rPr>
              <w:t xml:space="preserve">. </w:t>
            </w:r>
            <w:r/>
          </w:p>
        </w:tc>
      </w:tr>
    </w:tbl>
    <w:p>
      <w:pPr>
        <w:rPr>
          <w:color w:val="000000"/>
        </w:rPr>
      </w:pPr>
      <w:r>
        <w:rPr>
          <w:color w:val="000000"/>
        </w:rPr>
      </w:r>
      <w:r/>
    </w:p>
    <w:p>
      <w:pPr>
        <w:rPr>
          <w:color w:val="000000"/>
        </w:rPr>
      </w:pPr>
      <w:r>
        <w:rPr>
          <w:color w:val="000000"/>
        </w:rPr>
      </w:r>
      <w:r>
        <w:rPr>
          <w:color w:val="000000"/>
        </w:rPr>
      </w:r>
    </w:p>
    <w:p>
      <w:pPr>
        <w:rPr>
          <w:b/>
          <w:color w:val="31859A" w:themeColor="accent5" w:themeShade="BF"/>
          <w:u w:val="single"/>
        </w:rPr>
      </w:pPr>
      <w:r>
        <w:rPr>
          <w:b/>
          <w:color w:val="31859A" w:themeColor="accent5" w:themeShade="BF"/>
          <w:u w:val="none"/>
        </w:rPr>
        <w:t xml:space="preserve">Temps d’activité</w:t>
      </w:r>
      <w:r>
        <w:rPr>
          <w:color w:val="31859A" w:themeColor="accent5" w:themeShade="BF"/>
        </w:rPr>
      </w:r>
    </w:p>
    <w:p>
      <w:pPr>
        <w:rPr>
          <w:b/>
          <w:color w:val="000000"/>
          <w:u w:val="single"/>
        </w:rPr>
      </w:pPr>
      <w:r>
        <w:rPr>
          <w:b/>
          <w:color w:val="000000"/>
          <w:u w:val="single"/>
        </w:rPr>
      </w:r>
      <w:r/>
    </w:p>
    <w:tbl>
      <w:tblPr>
        <w:tblStyle w:val="393"/>
        <w:tblW w:w="10710" w:type="dxa"/>
        <w:tblInd w:w="10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535"/>
        <w:gridCol w:w="5175"/>
      </w:tblGrid>
      <w:tr>
        <w:trPr/>
        <w:tc>
          <w:tcPr>
            <w:shd w:val="clear" w:color="auto" w:fill="auto"/>
            <w:tcMar>
              <w:left w:w="100" w:type="dxa"/>
              <w:top w:w="100" w:type="dxa"/>
              <w:right w:w="100" w:type="dxa"/>
              <w:bottom w:w="100" w:type="dxa"/>
            </w:tcMar>
            <w:tcW w:w="5535" w:type="dxa"/>
            <w:textDirection w:val="lrTb"/>
            <w:noWrap w:val="false"/>
          </w:tcPr>
          <w:p>
            <w:r>
              <w:t xml:space="preserve">- Laisser les élèves autonomes pour réaliser la tâche. </w:t>
            </w:r>
            <w:r/>
          </w:p>
          <w:p>
            <w:r>
              <w:t xml:space="preserve">- Circuler parmi les élèves pour vérifier qu’ils suivent bien le ‘protocole’ de départ.</w:t>
            </w:r>
            <w:r/>
          </w:p>
          <w:p>
            <w:r>
              <w:t xml:space="preserve">On peut imaginer que chaque binôme travaillera sur un, deux ou trois sons selon la rapidité d’exécution. Il est important de laisser les élèves aller au rythme souhaité.</w:t>
            </w:r>
            <w:r/>
          </w:p>
          <w:p>
            <w:r>
              <w:t xml:space="preserve">- Une fois la tâche terminée, laisser les élèves colorier les dessins. Insister sur le fait de s’appliquer dans la mesure où le travail sera affiché. </w:t>
            </w:r>
            <w:r/>
          </w:p>
          <w:p>
            <w:r/>
            <w:r/>
          </w:p>
        </w:tc>
        <w:tc>
          <w:tcPr>
            <w:shd w:val="clear" w:color="auto" w:fill="auto"/>
            <w:tcMar>
              <w:left w:w="100" w:type="dxa"/>
              <w:top w:w="100" w:type="dxa"/>
              <w:right w:w="100" w:type="dxa"/>
              <w:bottom w:w="100" w:type="dxa"/>
            </w:tcMar>
            <w:tcW w:w="5175" w:type="dxa"/>
            <w:textDirection w:val="lrTb"/>
            <w:noWrap w:val="false"/>
          </w:tcPr>
          <w:p>
            <w:pPr>
              <w:rPr>
                <w:i/>
              </w:rPr>
            </w:pPr>
            <w:r>
              <w:rPr>
                <w:i/>
              </w:rPr>
              <w:t xml:space="preserve"> </w:t>
            </w:r>
            <w:r/>
          </w:p>
          <w:p>
            <w:pPr>
              <w:rPr>
                <w:i/>
              </w:rPr>
            </w:pPr>
            <w:r>
              <w:rPr>
                <w:i/>
              </w:rPr>
            </w:r>
            <w:r/>
          </w:p>
          <w:p>
            <w:pPr>
              <w:rPr>
                <w:i/>
              </w:rPr>
            </w:pPr>
            <w:r>
              <w:rPr>
                <w:i/>
              </w:rPr>
            </w:r>
            <w:r/>
          </w:p>
          <w:p>
            <w:pPr>
              <w:rPr>
                <w:i/>
              </w:rPr>
            </w:pPr>
            <w:r>
              <w:rPr>
                <w:i/>
              </w:rPr>
              <w:t xml:space="preserve">Il est intéressant d’observer comment le travail est réparti au sein du binôme. Il est également important d’en faire un petit bilan à la fin de la séance.</w:t>
            </w:r>
            <w:r/>
          </w:p>
        </w:tc>
      </w:tr>
    </w:tbl>
    <w:p>
      <w:pPr>
        <w:rPr>
          <w:b/>
          <w:color w:val="000000"/>
          <w:u w:val="single"/>
        </w:rPr>
      </w:pPr>
      <w:r>
        <w:rPr>
          <w:b/>
          <w:color w:val="000000"/>
          <w:u w:val="single"/>
        </w:rPr>
      </w:r>
      <w:r/>
    </w:p>
    <w:p>
      <w:pPr>
        <w:rPr>
          <w:b/>
          <w:color w:val="000000"/>
          <w:u w:val="single"/>
        </w:rPr>
      </w:pPr>
      <w:r>
        <w:rPr>
          <w:b/>
          <w:color w:val="000000"/>
          <w:u w:val="single"/>
        </w:rPr>
      </w:r>
      <w:r>
        <w:rPr>
          <w:b/>
          <w:color w:val="000000"/>
          <w:u w:val="single"/>
        </w:rPr>
      </w:r>
    </w:p>
    <w:p>
      <w:pPr>
        <w:rPr>
          <w:b/>
          <w:color w:val="000000"/>
          <w:u w:val="single"/>
        </w:rPr>
      </w:pPr>
      <w:r>
        <w:rPr>
          <w:b/>
          <w:color w:val="31859A" w:themeColor="accent5" w:themeShade="BF"/>
          <w:u w:val="none"/>
        </w:rPr>
        <w:t xml:space="preserve">Mise en place de l’aide visuelle</w:t>
      </w:r>
      <w:r/>
    </w:p>
    <w:p>
      <w:pPr>
        <w:rPr>
          <w:b/>
          <w:color w:val="000000"/>
          <w:u w:val="single"/>
        </w:rPr>
      </w:pPr>
      <w:r>
        <w:rPr>
          <w:b/>
          <w:color w:val="000000"/>
          <w:u w:val="single"/>
        </w:rPr>
      </w:r>
      <w:r/>
    </w:p>
    <w:tbl>
      <w:tblPr>
        <w:tblStyle w:val="393"/>
        <w:tblW w:w="10710" w:type="dxa"/>
        <w:tblInd w:w="10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535"/>
        <w:gridCol w:w="5175"/>
      </w:tblGrid>
      <w:tr>
        <w:trPr/>
        <w:tc>
          <w:tcPr>
            <w:shd w:val="clear" w:color="auto" w:fill="auto"/>
            <w:tcMar>
              <w:left w:w="100" w:type="dxa"/>
              <w:top w:w="100" w:type="dxa"/>
              <w:right w:w="100" w:type="dxa"/>
              <w:bottom w:w="100" w:type="dxa"/>
            </w:tcMar>
            <w:tcW w:w="5535" w:type="dxa"/>
            <w:textDirection w:val="lrTb"/>
            <w:noWrap w:val="false"/>
          </w:tcPr>
          <w:p>
            <w:r>
              <w:t xml:space="preserve">- Distribuer aux élèves l’annexe 5 qui n’est autre que l’alphabet phonétique réalisé, mais en petit format.</w:t>
            </w:r>
            <w:r/>
          </w:p>
          <w:p>
            <w:r/>
            <w:r/>
          </w:p>
          <w:p>
            <w:r>
              <w:t xml:space="preserve">- Faire participer les élèves à l’affichage (si possible dans le même ordre que sur l’annexe 5 afin de donner une cohérence et rassurer les élèves).</w:t>
            </w:r>
            <w:r/>
          </w:p>
          <w:p>
            <w:r/>
            <w:r/>
          </w:p>
        </w:tc>
        <w:tc>
          <w:tcPr>
            <w:shd w:val="clear" w:color="auto" w:fill="auto"/>
            <w:tcMar>
              <w:left w:w="100" w:type="dxa"/>
              <w:top w:w="100" w:type="dxa"/>
              <w:right w:w="100" w:type="dxa"/>
              <w:bottom w:w="100" w:type="dxa"/>
            </w:tcMar>
            <w:tcW w:w="5175" w:type="dxa"/>
            <w:textDirection w:val="lrTb"/>
            <w:noWrap w:val="false"/>
          </w:tcPr>
          <w:p>
            <w:pPr>
              <w:rPr>
                <w:i/>
              </w:rPr>
            </w:pPr>
            <w:r>
              <w:rPr>
                <w:i/>
              </w:rPr>
            </w:r>
            <w:r/>
          </w:p>
          <w:p>
            <w:pPr>
              <w:rPr>
                <w:i/>
              </w:rPr>
            </w:pPr>
            <w:r>
              <w:rPr>
                <w:i/>
              </w:rPr>
              <w:t xml:space="preserve">Faire participer les élèves du début à la fin (c’est-à-dire de la réalisation à l’affichage) permettra de s’approprier cet alphabet phonétique et d’en faire un objet indispensable à l’amélioration de sa prononciation. </w:t>
            </w:r>
            <w:r/>
          </w:p>
        </w:tc>
      </w:tr>
    </w:tbl>
    <w:p>
      <w:pPr>
        <w:rPr>
          <w:b/>
          <w:color w:val="000000"/>
          <w:u w:val="single"/>
        </w:rPr>
      </w:pPr>
      <w:r>
        <w:rPr>
          <w:b/>
          <w:color w:val="000000"/>
          <w:u w:val="single"/>
        </w:rPr>
      </w:r>
      <w:r/>
    </w:p>
    <w:p>
      <w:pPr>
        <w:rPr>
          <w:b/>
          <w:color w:val="000000"/>
          <w:u w:val="single"/>
        </w:rPr>
      </w:pPr>
      <w:r>
        <w:rPr>
          <w:b/>
          <w:color w:val="000000"/>
          <w:u w:val="single"/>
        </w:rPr>
      </w:r>
      <w:r>
        <w:rPr>
          <w:b/>
          <w:color w:val="000000"/>
          <w:u w:val="single"/>
        </w:rPr>
      </w:r>
    </w:p>
    <w:p>
      <w:pPr>
        <w:rPr>
          <w:b/>
          <w:color w:val="31859A" w:themeColor="accent5" w:themeShade="BF"/>
          <w:u w:val="none"/>
        </w:rPr>
      </w:pPr>
      <w:r>
        <w:rPr>
          <w:b/>
          <w:color w:val="31859A" w:themeColor="accent5" w:themeShade="BF"/>
          <w:u w:val="none"/>
        </w:rPr>
        <w:t xml:space="preserve">Prolongements</w:t>
      </w:r>
      <w:r>
        <w:rPr>
          <w:color w:val="31859A" w:themeColor="accent5" w:themeShade="BF"/>
          <w:u w:val="none"/>
        </w:rPr>
      </w:r>
    </w:p>
    <w:p>
      <w:pPr>
        <w:rPr>
          <w:b/>
          <w:color w:val="000000"/>
          <w:u w:val="single"/>
        </w:rPr>
      </w:pPr>
      <w:r>
        <w:rPr>
          <w:b/>
          <w:color w:val="000000"/>
          <w:u w:val="single"/>
        </w:rPr>
      </w:r>
      <w:r/>
    </w:p>
    <w:tbl>
      <w:tblPr>
        <w:tblStyle w:val="393"/>
        <w:tblW w:w="10710" w:type="dxa"/>
        <w:tblInd w:w="10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5535"/>
        <w:gridCol w:w="5175"/>
      </w:tblGrid>
      <w:tr>
        <w:trPr/>
        <w:tc>
          <w:tcPr>
            <w:shd w:val="clear" w:color="auto" w:fill="auto"/>
            <w:tcMar>
              <w:left w:w="100" w:type="dxa"/>
              <w:top w:w="100" w:type="dxa"/>
              <w:right w:w="100" w:type="dxa"/>
              <w:bottom w:w="100" w:type="dxa"/>
            </w:tcMar>
            <w:tcW w:w="5535" w:type="dxa"/>
            <w:textDirection w:val="lrTb"/>
            <w:noWrap w:val="false"/>
          </w:tcPr>
          <w:p>
            <w:r>
              <w:t xml:space="preserve">- Il faudra utiliser cet alphabet phonétique  chaque fois qu’une difficulté de prononciation se présentera en montrant le mot référence</w:t>
            </w:r>
            <w:r>
              <w:t xml:space="preserve">.</w:t>
            </w:r>
            <w:r/>
          </w:p>
          <w:p>
            <w:r>
              <w:t xml:space="preserve">Ex : Si le mot ‘plane’ n’est pas correctement prononcé, montrer le mot ‘cake’. L’élève s’auto-corrigera sans que nous n’intervenions. </w:t>
            </w:r>
            <w:r/>
          </w:p>
          <w:p>
            <w:r>
              <w:t xml:space="preserve">Au cours de la rédaction de la trace écrite, les mots problématiques pourront être associés aux mots-références. </w:t>
            </w:r>
            <w:r/>
          </w:p>
          <w:p>
            <w:pPr>
              <w:rPr>
                <w:lang w:val="en-GB"/>
              </w:rPr>
            </w:pPr>
            <w:r>
              <w:rPr>
                <w:lang w:val="en-GB"/>
              </w:rPr>
              <w:t xml:space="preserve">Ex : ‘ noise’ / It is the sound </w:t>
            </w:r>
            <w:r>
              <w:rPr>
                <w:lang w:val="en-GB"/>
              </w:rPr>
              <w:t xml:space="preserve">[</w:t>
            </w:r>
            <w:r>
              <w:rPr>
                <w:lang w:val="en-GB"/>
              </w:rPr>
              <w:t xml:space="preserve">ɔɪ</w:t>
            </w:r>
            <w:r>
              <w:rPr>
                <w:lang w:val="en-GB"/>
              </w:rPr>
              <w:t xml:space="preserve">] like in ‘boy’</w:t>
            </w:r>
            <w:r/>
          </w:p>
          <w:p>
            <w:r>
              <w:t xml:space="preserve">- Il est tout à fait envisageable</w:t>
            </w:r>
            <w:r>
              <w:t xml:space="preserve">, notamment pour les élèves plus à l’aise, de faire réaliser </w:t>
            </w:r>
            <w:r>
              <w:t xml:space="preserve">un autre alphabet phonétique </w:t>
            </w:r>
            <w:r>
              <w:t xml:space="preserve">dans lequel ils choisiraient leurs mots.</w:t>
            </w:r>
            <w:r/>
            <w:r/>
            <w:r/>
          </w:p>
        </w:tc>
        <w:tc>
          <w:tcPr>
            <w:shd w:val="clear" w:color="auto" w:fill="auto"/>
            <w:tcMar>
              <w:left w:w="100" w:type="dxa"/>
              <w:top w:w="100" w:type="dxa"/>
              <w:right w:w="100" w:type="dxa"/>
              <w:bottom w:w="100" w:type="dxa"/>
            </w:tcMar>
            <w:tcW w:w="5175" w:type="dxa"/>
            <w:textDirection w:val="lrTb"/>
            <w:noWrap w:val="false"/>
          </w:tcPr>
          <w:p>
            <w:pPr>
              <w:rPr>
                <w:i/>
              </w:rPr>
            </w:pPr>
            <w:r>
              <w:rPr>
                <w:i/>
              </w:rPr>
            </w:r>
            <w:r/>
          </w:p>
          <w:p>
            <w:pPr>
              <w:rPr>
                <w:i/>
              </w:rPr>
            </w:pPr>
            <w:r>
              <w:rPr>
                <w:i/>
              </w:rPr>
            </w:r>
            <w:r/>
          </w:p>
          <w:p>
            <w:pPr>
              <w:rPr>
                <w:i/>
              </w:rPr>
            </w:pPr>
            <w:r>
              <w:rPr>
                <w:i/>
              </w:rPr>
            </w:r>
            <w:r/>
          </w:p>
          <w:p>
            <w:pPr>
              <w:rPr>
                <w:i/>
              </w:rPr>
            </w:pPr>
            <w:r>
              <w:rPr>
                <w:i/>
              </w:rPr>
            </w:r>
            <w:r/>
          </w:p>
          <w:p>
            <w:pPr>
              <w:rPr>
                <w:i/>
              </w:rPr>
            </w:pPr>
            <w:r>
              <w:rPr>
                <w:i/>
              </w:rPr>
              <w:t xml:space="preserve">Il est important de faire ‘vivre’ cet alphabet phonétique et de l’utiliser quotidiennement pour que cela devienne un automatisme pour les élèves. </w:t>
            </w:r>
            <w:r/>
          </w:p>
        </w:tc>
      </w:tr>
    </w:tbl>
    <w:p>
      <w:pPr>
        <w:rPr>
          <w:b/>
          <w:color w:val="000000"/>
          <w:u w:val="single"/>
        </w:rPr>
      </w:pPr>
      <w:r>
        <w:rPr>
          <w:b/>
          <w:color w:val="000000"/>
          <w:u w:val="single"/>
        </w:rPr>
      </w:r>
      <w:r/>
    </w:p>
    <w:sectPr>
      <w:footnotePr/>
      <w:type w:val="nextPage"/>
      <w:pgSz w:w="11906" w:h="16838" w:orient="portrait"/>
      <w:pgMar w:top="584" w:right="584" w:bottom="601" w:left="573" w:header="0" w:footer="0"/>
      <w:pgNumType w:start="1"/>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Georgia">
    <w:panose1 w:val="02040502050405020303"/>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
      <w:lvlJc w:val="left"/>
      <w:pPr>
        <w:ind w:left="432" w:hanging="432"/>
      </w:pPr>
    </w:lvl>
    <w:lvl w:ilvl="1">
      <w:start w:val="1"/>
      <w:numFmt w:val="decimal"/>
      <w:isLgl w:val="false"/>
      <w:suff w:val="tab"/>
      <w:lvlText w:val=""/>
      <w:lvlJc w:val="left"/>
      <w:pPr>
        <w:ind w:left="576" w:hanging="576"/>
      </w:pPr>
    </w:lvl>
    <w:lvl w:ilvl="2">
      <w:start w:val="1"/>
      <w:numFmt w:val="decimal"/>
      <w:isLgl w:val="false"/>
      <w:suff w:val="tab"/>
      <w:lvlText w:val=""/>
      <w:lvlJc w:val="left"/>
      <w:pPr>
        <w:ind w:left="720" w:hanging="720"/>
      </w:pPr>
    </w:lvl>
    <w:lvl w:ilvl="3">
      <w:start w:val="1"/>
      <w:numFmt w:val="decimal"/>
      <w:isLgl w:val="false"/>
      <w:suff w:val="tab"/>
      <w:lvlText w:val=""/>
      <w:lvlJc w:val="left"/>
      <w:pPr>
        <w:ind w:left="864" w:hanging="864"/>
      </w:pPr>
    </w:lvl>
    <w:lvl w:ilvl="4">
      <w:start w:val="1"/>
      <w:numFmt w:val="decimal"/>
      <w:isLgl w:val="false"/>
      <w:suff w:val="tab"/>
      <w:lvlText w:val=""/>
      <w:lvlJc w:val="left"/>
      <w:pPr>
        <w:ind w:left="1008" w:hanging="1008"/>
      </w:pPr>
    </w:lvl>
    <w:lvl w:ilvl="5">
      <w:start w:val="1"/>
      <w:numFmt w:val="decimal"/>
      <w:isLgl w:val="false"/>
      <w:suff w:val="tab"/>
      <w:lvlText w:val=""/>
      <w:lvlJc w:val="left"/>
      <w:pPr>
        <w:ind w:left="1152" w:hanging="1152"/>
      </w:pPr>
    </w:lvl>
    <w:lvl w:ilvl="6">
      <w:start w:val="1"/>
      <w:numFmt w:val="decimal"/>
      <w:isLgl w:val="false"/>
      <w:suff w:val="tab"/>
      <w:lvlText w:val=""/>
      <w:lvlJc w:val="left"/>
      <w:pPr>
        <w:ind w:left="1296" w:hanging="1296"/>
      </w:pPr>
    </w:lvl>
    <w:lvl w:ilvl="7">
      <w:start w:val="1"/>
      <w:numFmt w:val="decimal"/>
      <w:isLgl w:val="false"/>
      <w:suff w:val="tab"/>
      <w:lvlText w:val=""/>
      <w:lvlJc w:val="left"/>
      <w:pPr>
        <w:ind w:left="1440" w:hanging="1440"/>
      </w:pPr>
    </w:lvl>
    <w:lvl w:ilvl="8">
      <w:start w:val="1"/>
      <w:numFmt w:val="decimal"/>
      <w:isLgl w:val="false"/>
      <w:suff w:val="tab"/>
      <w:lvlText w:val=""/>
      <w:lvlJc w:val="left"/>
      <w:pPr>
        <w:ind w:left="1584" w:hanging="1584"/>
      </w:pPr>
    </w:lvl>
  </w:abstractNum>
  <w:abstractNum w:abstractNumId="1">
    <w:multiLevelType w:val="hybridMultilevel"/>
    <w:lvl w:ilvl="0">
      <w:start w:val="1"/>
      <w:numFmt w:val="bullet"/>
      <w:isLgl w:val="false"/>
      <w:suff w:val="tab"/>
      <w:lvlText w:val="-"/>
      <w:lvlJc w:val="left"/>
      <w:pPr>
        <w:ind w:left="720" w:hanging="360"/>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2">
    <w:multiLevelType w:val="hybridMultilevel"/>
    <w:lvl w:ilvl="0">
      <w:start w:val="1"/>
      <w:numFmt w:val="decimal"/>
      <w:isLgl w:val="false"/>
      <w:suff w:val="tab"/>
      <w:lvlText w:val=""/>
      <w:lvlJc w:val="left"/>
      <w:pPr>
        <w:ind w:left="432" w:hanging="432"/>
      </w:pPr>
    </w:lvl>
    <w:lvl w:ilvl="1">
      <w:start w:val="1"/>
      <w:numFmt w:val="decimal"/>
      <w:isLgl w:val="false"/>
      <w:suff w:val="tab"/>
      <w:lvlText w:val=""/>
      <w:lvlJc w:val="left"/>
      <w:pPr>
        <w:ind w:left="576" w:hanging="576"/>
      </w:pPr>
    </w:lvl>
    <w:lvl w:ilvl="2">
      <w:start w:val="1"/>
      <w:numFmt w:val="decimal"/>
      <w:isLgl w:val="false"/>
      <w:suff w:val="tab"/>
      <w:lvlText w:val=""/>
      <w:lvlJc w:val="left"/>
      <w:pPr>
        <w:ind w:left="720" w:hanging="720"/>
      </w:pPr>
    </w:lvl>
    <w:lvl w:ilvl="3">
      <w:start w:val="1"/>
      <w:numFmt w:val="decimal"/>
      <w:isLgl w:val="false"/>
      <w:suff w:val="tab"/>
      <w:lvlText w:val=""/>
      <w:lvlJc w:val="left"/>
      <w:pPr>
        <w:ind w:left="864" w:hanging="864"/>
      </w:pPr>
    </w:lvl>
    <w:lvl w:ilvl="4">
      <w:start w:val="1"/>
      <w:numFmt w:val="decimal"/>
      <w:isLgl w:val="false"/>
      <w:suff w:val="tab"/>
      <w:lvlText w:val=""/>
      <w:lvlJc w:val="left"/>
      <w:pPr>
        <w:ind w:left="1008" w:hanging="1008"/>
      </w:pPr>
    </w:lvl>
    <w:lvl w:ilvl="5">
      <w:start w:val="1"/>
      <w:numFmt w:val="decimal"/>
      <w:isLgl w:val="false"/>
      <w:suff w:val="tab"/>
      <w:lvlText w:val=""/>
      <w:lvlJc w:val="left"/>
      <w:pPr>
        <w:ind w:left="1152" w:hanging="1152"/>
      </w:pPr>
    </w:lvl>
    <w:lvl w:ilvl="6">
      <w:start w:val="1"/>
      <w:numFmt w:val="decimal"/>
      <w:isLgl w:val="false"/>
      <w:suff w:val="tab"/>
      <w:lvlText w:val=""/>
      <w:lvlJc w:val="left"/>
      <w:pPr>
        <w:ind w:left="1296" w:hanging="1296"/>
      </w:pPr>
    </w:lvl>
    <w:lvl w:ilvl="7">
      <w:start w:val="1"/>
      <w:numFmt w:val="decimal"/>
      <w:isLgl w:val="false"/>
      <w:suff w:val="tab"/>
      <w:lvlText w:val=""/>
      <w:lvlJc w:val="left"/>
      <w:pPr>
        <w:ind w:left="1440" w:hanging="1440"/>
      </w:pPr>
    </w:lvl>
    <w:lvl w:ilvl="8">
      <w:start w:val="1"/>
      <w:numFmt w:val="decimal"/>
      <w:isLgl w:val="false"/>
      <w:suff w:val="tab"/>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4"/>
        <w:szCs w:val="24"/>
        <w:lang w:val="fr-FR" w:bidi="ar-SA" w:eastAsia="fr-FR"/>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85"/>
    <w:link w:val="379"/>
    <w:uiPriority w:val="9"/>
    <w:rPr>
      <w:rFonts w:ascii="Arial" w:hAnsi="Arial" w:cs="Arial" w:eastAsia="Arial"/>
      <w:sz w:val="40"/>
      <w:szCs w:val="40"/>
    </w:rPr>
  </w:style>
  <w:style w:type="character" w:styleId="14">
    <w:name w:val="Heading 2 Char"/>
    <w:basedOn w:val="385"/>
    <w:link w:val="380"/>
    <w:uiPriority w:val="9"/>
    <w:rPr>
      <w:rFonts w:ascii="Arial" w:hAnsi="Arial" w:cs="Arial" w:eastAsia="Arial"/>
      <w:sz w:val="34"/>
    </w:rPr>
  </w:style>
  <w:style w:type="character" w:styleId="16">
    <w:name w:val="Heading 3 Char"/>
    <w:basedOn w:val="385"/>
    <w:link w:val="381"/>
    <w:uiPriority w:val="9"/>
    <w:rPr>
      <w:rFonts w:ascii="Arial" w:hAnsi="Arial" w:cs="Arial" w:eastAsia="Arial"/>
      <w:sz w:val="30"/>
      <w:szCs w:val="30"/>
    </w:rPr>
  </w:style>
  <w:style w:type="character" w:styleId="18">
    <w:name w:val="Heading 4 Char"/>
    <w:basedOn w:val="385"/>
    <w:link w:val="382"/>
    <w:uiPriority w:val="9"/>
    <w:rPr>
      <w:rFonts w:ascii="Arial" w:hAnsi="Arial" w:cs="Arial" w:eastAsia="Arial"/>
      <w:b/>
      <w:bCs/>
      <w:sz w:val="26"/>
      <w:szCs w:val="26"/>
    </w:rPr>
  </w:style>
  <w:style w:type="character" w:styleId="20">
    <w:name w:val="Heading 5 Char"/>
    <w:basedOn w:val="385"/>
    <w:link w:val="383"/>
    <w:uiPriority w:val="9"/>
    <w:rPr>
      <w:rFonts w:ascii="Arial" w:hAnsi="Arial" w:cs="Arial" w:eastAsia="Arial"/>
      <w:b/>
      <w:bCs/>
      <w:sz w:val="24"/>
      <w:szCs w:val="24"/>
    </w:rPr>
  </w:style>
  <w:style w:type="character" w:styleId="22">
    <w:name w:val="Heading 6 Char"/>
    <w:basedOn w:val="385"/>
    <w:link w:val="384"/>
    <w:uiPriority w:val="9"/>
    <w:rPr>
      <w:rFonts w:ascii="Arial" w:hAnsi="Arial" w:cs="Arial" w:eastAsia="Arial"/>
      <w:b/>
      <w:bCs/>
      <w:sz w:val="22"/>
      <w:szCs w:val="22"/>
    </w:rPr>
  </w:style>
  <w:style w:type="paragraph" w:styleId="23">
    <w:name w:val="Heading 7"/>
    <w:basedOn w:val="378"/>
    <w:next w:val="37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5"/>
    <w:link w:val="23"/>
    <w:uiPriority w:val="9"/>
    <w:rPr>
      <w:rFonts w:ascii="Arial" w:hAnsi="Arial" w:cs="Arial" w:eastAsia="Arial"/>
      <w:b/>
      <w:bCs/>
      <w:i/>
      <w:iCs/>
      <w:sz w:val="22"/>
      <w:szCs w:val="22"/>
    </w:rPr>
  </w:style>
  <w:style w:type="paragraph" w:styleId="25">
    <w:name w:val="Heading 8"/>
    <w:basedOn w:val="378"/>
    <w:next w:val="37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5"/>
    <w:link w:val="25"/>
    <w:uiPriority w:val="9"/>
    <w:rPr>
      <w:rFonts w:ascii="Arial" w:hAnsi="Arial" w:cs="Arial" w:eastAsia="Arial"/>
      <w:i/>
      <w:iCs/>
      <w:sz w:val="22"/>
      <w:szCs w:val="22"/>
    </w:rPr>
  </w:style>
  <w:style w:type="paragraph" w:styleId="27">
    <w:name w:val="Heading 9"/>
    <w:basedOn w:val="378"/>
    <w:next w:val="37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5"/>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385"/>
    <w:link w:val="389"/>
    <w:uiPriority w:val="10"/>
    <w:rPr>
      <w:sz w:val="48"/>
      <w:szCs w:val="48"/>
    </w:rPr>
  </w:style>
  <w:style w:type="character" w:styleId="35">
    <w:name w:val="Subtitle Char"/>
    <w:basedOn w:val="385"/>
    <w:link w:val="390"/>
    <w:uiPriority w:val="11"/>
    <w:rPr>
      <w:sz w:val="24"/>
      <w:szCs w:val="24"/>
    </w:rPr>
  </w:style>
  <w:style w:type="paragraph" w:styleId="36">
    <w:name w:val="Quote"/>
    <w:basedOn w:val="378"/>
    <w:next w:val="378"/>
    <w:link w:val="37"/>
    <w:qFormat/>
    <w:uiPriority w:val="29"/>
    <w:rPr>
      <w:i/>
    </w:rPr>
    <w:pPr>
      <w:ind w:left="720" w:right="720"/>
    </w:pPr>
  </w:style>
  <w:style w:type="character" w:styleId="37">
    <w:name w:val="Quote Char"/>
    <w:link w:val="36"/>
    <w:uiPriority w:val="29"/>
    <w:rPr>
      <w:i/>
    </w:rPr>
  </w:style>
  <w:style w:type="paragraph" w:styleId="38">
    <w:name w:val="Intense Quote"/>
    <w:basedOn w:val="378"/>
    <w:next w:val="37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8"/>
    <w:link w:val="41"/>
    <w:uiPriority w:val="99"/>
    <w:unhideWhenUsed/>
    <w:pPr>
      <w:spacing w:lineRule="auto" w:line="240" w:after="0"/>
      <w:tabs>
        <w:tab w:val="center" w:pos="7143" w:leader="none"/>
        <w:tab w:val="right" w:pos="14287" w:leader="none"/>
      </w:tabs>
    </w:pPr>
  </w:style>
  <w:style w:type="character" w:styleId="41">
    <w:name w:val="Header Char"/>
    <w:basedOn w:val="385"/>
    <w:link w:val="40"/>
    <w:uiPriority w:val="99"/>
  </w:style>
  <w:style w:type="paragraph" w:styleId="42">
    <w:name w:val="Footer"/>
    <w:basedOn w:val="378"/>
    <w:link w:val="43"/>
    <w:uiPriority w:val="99"/>
    <w:unhideWhenUsed/>
    <w:pPr>
      <w:spacing w:lineRule="auto" w:line="240" w:after="0"/>
      <w:tabs>
        <w:tab w:val="center" w:pos="7143" w:leader="none"/>
        <w:tab w:val="right" w:pos="14287" w:leader="none"/>
      </w:tabs>
    </w:pPr>
  </w:style>
  <w:style w:type="character" w:styleId="43">
    <w:name w:val="Footer Char"/>
    <w:basedOn w:val="385"/>
    <w:link w:val="42"/>
    <w:uiPriority w:val="99"/>
  </w:style>
  <w:style w:type="table" w:styleId="44">
    <w:name w:val="Table Grid"/>
    <w:basedOn w:val="38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8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8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8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8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8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8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8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8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8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8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8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8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5"/>
    <w:uiPriority w:val="99"/>
    <w:unhideWhenUsed/>
    <w:rPr>
      <w:vertAlign w:val="superscript"/>
    </w:rPr>
  </w:style>
  <w:style w:type="paragraph" w:styleId="174">
    <w:name w:val="toc 1"/>
    <w:basedOn w:val="378"/>
    <w:next w:val="378"/>
    <w:uiPriority w:val="39"/>
    <w:unhideWhenUsed/>
    <w:pPr>
      <w:ind w:left="0" w:right="0" w:firstLine="0"/>
      <w:spacing w:after="57"/>
    </w:pPr>
  </w:style>
  <w:style w:type="paragraph" w:styleId="175">
    <w:name w:val="toc 2"/>
    <w:basedOn w:val="378"/>
    <w:next w:val="378"/>
    <w:uiPriority w:val="39"/>
    <w:unhideWhenUsed/>
    <w:pPr>
      <w:ind w:left="283" w:right="0" w:firstLine="0"/>
      <w:spacing w:after="57"/>
    </w:pPr>
  </w:style>
  <w:style w:type="paragraph" w:styleId="176">
    <w:name w:val="toc 3"/>
    <w:basedOn w:val="378"/>
    <w:next w:val="378"/>
    <w:uiPriority w:val="39"/>
    <w:unhideWhenUsed/>
    <w:pPr>
      <w:ind w:left="567" w:right="0" w:firstLine="0"/>
      <w:spacing w:after="57"/>
    </w:pPr>
  </w:style>
  <w:style w:type="paragraph" w:styleId="177">
    <w:name w:val="toc 4"/>
    <w:basedOn w:val="378"/>
    <w:next w:val="378"/>
    <w:uiPriority w:val="39"/>
    <w:unhideWhenUsed/>
    <w:pPr>
      <w:ind w:left="850" w:right="0" w:firstLine="0"/>
      <w:spacing w:after="57"/>
    </w:pPr>
  </w:style>
  <w:style w:type="paragraph" w:styleId="178">
    <w:name w:val="toc 5"/>
    <w:basedOn w:val="378"/>
    <w:next w:val="378"/>
    <w:uiPriority w:val="39"/>
    <w:unhideWhenUsed/>
    <w:pPr>
      <w:ind w:left="1134" w:right="0" w:firstLine="0"/>
      <w:spacing w:after="57"/>
    </w:pPr>
  </w:style>
  <w:style w:type="paragraph" w:styleId="179">
    <w:name w:val="toc 6"/>
    <w:basedOn w:val="378"/>
    <w:next w:val="378"/>
    <w:uiPriority w:val="39"/>
    <w:unhideWhenUsed/>
    <w:pPr>
      <w:ind w:left="1417" w:right="0" w:firstLine="0"/>
      <w:spacing w:after="57"/>
    </w:pPr>
  </w:style>
  <w:style w:type="paragraph" w:styleId="180">
    <w:name w:val="toc 7"/>
    <w:basedOn w:val="378"/>
    <w:next w:val="378"/>
    <w:uiPriority w:val="39"/>
    <w:unhideWhenUsed/>
    <w:pPr>
      <w:ind w:left="1701" w:right="0" w:firstLine="0"/>
      <w:spacing w:after="57"/>
    </w:pPr>
  </w:style>
  <w:style w:type="paragraph" w:styleId="181">
    <w:name w:val="toc 8"/>
    <w:basedOn w:val="378"/>
    <w:next w:val="378"/>
    <w:uiPriority w:val="39"/>
    <w:unhideWhenUsed/>
    <w:pPr>
      <w:ind w:left="1984" w:right="0" w:firstLine="0"/>
      <w:spacing w:after="57"/>
    </w:pPr>
  </w:style>
  <w:style w:type="paragraph" w:styleId="182">
    <w:name w:val="toc 9"/>
    <w:basedOn w:val="378"/>
    <w:next w:val="378"/>
    <w:uiPriority w:val="39"/>
    <w:unhideWhenUsed/>
    <w:pPr>
      <w:ind w:left="2268" w:right="0" w:firstLine="0"/>
      <w:spacing w:after="57"/>
    </w:pPr>
  </w:style>
  <w:style w:type="paragraph" w:styleId="183">
    <w:name w:val="TOC Heading"/>
    <w:uiPriority w:val="39"/>
    <w:unhideWhenUsed/>
  </w:style>
  <w:style w:type="paragraph" w:styleId="378" w:default="1">
    <w:name w:val="Normal"/>
  </w:style>
  <w:style w:type="paragraph" w:styleId="379">
    <w:name w:val="Heading 1"/>
    <w:basedOn w:val="378"/>
    <w:next w:val="378"/>
    <w:rPr>
      <w:rFonts w:ascii="Cambria" w:hAnsi="Cambria" w:cs="Cambria" w:eastAsia="Cambria"/>
      <w:b/>
      <w:color w:val="365F91"/>
      <w:sz w:val="28"/>
      <w:szCs w:val="28"/>
    </w:rPr>
    <w:pPr>
      <w:ind w:left="432" w:hanging="432"/>
      <w:keepLines/>
      <w:keepNext/>
      <w:spacing w:before="480"/>
      <w:outlineLvl w:val="0"/>
    </w:pPr>
  </w:style>
  <w:style w:type="paragraph" w:styleId="380">
    <w:name w:val="Heading 2"/>
    <w:basedOn w:val="378"/>
    <w:next w:val="378"/>
    <w:rPr>
      <w:b/>
      <w:sz w:val="36"/>
      <w:szCs w:val="36"/>
    </w:rPr>
    <w:pPr>
      <w:keepLines/>
      <w:keepNext/>
      <w:spacing w:after="80" w:before="360"/>
      <w:outlineLvl w:val="1"/>
    </w:pPr>
  </w:style>
  <w:style w:type="paragraph" w:styleId="381">
    <w:name w:val="Heading 3"/>
    <w:basedOn w:val="378"/>
    <w:next w:val="378"/>
    <w:rPr>
      <w:b/>
      <w:sz w:val="28"/>
      <w:szCs w:val="28"/>
    </w:rPr>
    <w:pPr>
      <w:keepLines/>
      <w:keepNext/>
      <w:spacing w:after="80" w:before="280"/>
      <w:outlineLvl w:val="2"/>
    </w:pPr>
  </w:style>
  <w:style w:type="paragraph" w:styleId="382">
    <w:name w:val="Heading 4"/>
    <w:basedOn w:val="378"/>
    <w:next w:val="378"/>
    <w:rPr>
      <w:b/>
    </w:rPr>
    <w:pPr>
      <w:keepLines/>
      <w:keepNext/>
      <w:spacing w:after="40" w:before="240"/>
      <w:outlineLvl w:val="3"/>
    </w:pPr>
  </w:style>
  <w:style w:type="paragraph" w:styleId="383">
    <w:name w:val="Heading 5"/>
    <w:basedOn w:val="378"/>
    <w:next w:val="378"/>
    <w:rPr>
      <w:b/>
      <w:sz w:val="22"/>
      <w:szCs w:val="22"/>
    </w:rPr>
    <w:pPr>
      <w:keepLines/>
      <w:keepNext/>
      <w:spacing w:after="40" w:before="220"/>
      <w:outlineLvl w:val="4"/>
    </w:pPr>
  </w:style>
  <w:style w:type="paragraph" w:styleId="384">
    <w:name w:val="Heading 6"/>
    <w:basedOn w:val="378"/>
    <w:next w:val="378"/>
    <w:rPr>
      <w:b/>
      <w:sz w:val="20"/>
      <w:szCs w:val="20"/>
    </w:rPr>
    <w:pPr>
      <w:keepLines/>
      <w:keepNext/>
      <w:spacing w:after="40" w:before="200"/>
      <w:outlineLvl w:val="5"/>
    </w:pPr>
  </w:style>
  <w:style w:type="character" w:styleId="385" w:default="1">
    <w:name w:val="Default Paragraph Font"/>
    <w:uiPriority w:val="1"/>
    <w:semiHidden/>
    <w:unhideWhenUsed/>
  </w:style>
  <w:style w:type="table" w:styleId="386" w:default="1">
    <w:name w:val="Normal Table"/>
    <w:uiPriority w:val="99"/>
    <w:semiHidden/>
    <w:unhideWhenUsed/>
    <w:tblPr>
      <w:tblInd w:w="0" w:type="dxa"/>
      <w:tblCellMar>
        <w:left w:w="108" w:type="dxa"/>
        <w:top w:w="0" w:type="dxa"/>
        <w:right w:w="108" w:type="dxa"/>
        <w:bottom w:w="0" w:type="dxa"/>
      </w:tblCellMar>
    </w:tblPr>
  </w:style>
  <w:style w:type="numbering" w:styleId="387" w:default="1">
    <w:name w:val="No List"/>
    <w:uiPriority w:val="99"/>
    <w:semiHidden/>
    <w:unhideWhenUsed/>
  </w:style>
  <w:style w:type="table" w:styleId="388" w:customStyle="1">
    <w:name w:val="Table Normal"/>
    <w:tblPr>
      <w:tblCellMar>
        <w:left w:w="0" w:type="dxa"/>
        <w:top w:w="0" w:type="dxa"/>
        <w:right w:w="0" w:type="dxa"/>
        <w:bottom w:w="0" w:type="dxa"/>
      </w:tblCellMar>
    </w:tblPr>
  </w:style>
  <w:style w:type="paragraph" w:styleId="389">
    <w:name w:val="Title"/>
    <w:basedOn w:val="378"/>
    <w:next w:val="378"/>
    <w:rPr>
      <w:b/>
      <w:sz w:val="72"/>
      <w:szCs w:val="72"/>
    </w:rPr>
    <w:pPr>
      <w:keepLines/>
      <w:keepNext/>
      <w:spacing w:after="120" w:before="480"/>
    </w:pPr>
  </w:style>
  <w:style w:type="paragraph" w:styleId="390">
    <w:name w:val="Subtitle"/>
    <w:basedOn w:val="378"/>
    <w:next w:val="378"/>
    <w:rPr>
      <w:rFonts w:ascii="Georgia" w:hAnsi="Georgia" w:cs="Georgia" w:eastAsia="Georgia"/>
      <w:i/>
      <w:color w:val="666666"/>
      <w:sz w:val="48"/>
      <w:szCs w:val="48"/>
    </w:rPr>
    <w:pPr>
      <w:keepLines/>
      <w:keepNext/>
      <w:spacing w:after="80" w:before="360"/>
    </w:pPr>
  </w:style>
  <w:style w:type="table" w:styleId="391" w:customStyle="1">
    <w:name w:val="StGen0"/>
    <w:basedOn w:val="388"/>
    <w:tblPr>
      <w:tblStyleRowBandSize w:val="1"/>
      <w:tblStyleColBandSize w:val="1"/>
      <w:tblCellMar>
        <w:left w:w="54" w:type="dxa"/>
        <w:top w:w="55" w:type="dxa"/>
        <w:right w:w="55" w:type="dxa"/>
        <w:bottom w:w="55" w:type="dxa"/>
      </w:tblCellMar>
    </w:tblPr>
  </w:style>
  <w:style w:type="table" w:styleId="392" w:customStyle="1">
    <w:name w:val="StGen1"/>
    <w:basedOn w:val="388"/>
    <w:tblPr>
      <w:tblStyleRowBandSize w:val="1"/>
      <w:tblStyleColBandSize w:val="1"/>
      <w:tblCellMar>
        <w:left w:w="100" w:type="dxa"/>
        <w:top w:w="100" w:type="dxa"/>
        <w:right w:w="100" w:type="dxa"/>
        <w:bottom w:w="100" w:type="dxa"/>
      </w:tblCellMar>
    </w:tblPr>
  </w:style>
  <w:style w:type="table" w:styleId="393" w:customStyle="1">
    <w:name w:val="StGen2"/>
    <w:basedOn w:val="388"/>
    <w:tblPr>
      <w:tblStyleRowBandSize w:val="1"/>
      <w:tblStyleColBandSize w:val="1"/>
      <w:tblCellMar>
        <w:left w:w="100" w:type="dxa"/>
        <w:top w:w="100" w:type="dxa"/>
        <w:right w:w="100" w:type="dxa"/>
        <w:bottom w:w="100" w:type="dxa"/>
      </w:tblCellMar>
    </w:tblPr>
  </w:style>
  <w:style w:type="table" w:styleId="394" w:customStyle="1">
    <w:name w:val="StGen3"/>
    <w:basedOn w:val="388"/>
    <w:tblPr>
      <w:tblStyleRowBandSize w:val="1"/>
      <w:tblStyleColBandSize w:val="1"/>
      <w:tblCellMar>
        <w:left w:w="100" w:type="dxa"/>
        <w:top w:w="100" w:type="dxa"/>
        <w:right w:w="100" w:type="dxa"/>
        <w:bottom w:w="100" w:type="dxa"/>
      </w:tblCellMar>
    </w:tblPr>
  </w:style>
  <w:style w:type="table" w:styleId="395" w:customStyle="1">
    <w:name w:val="StGen4"/>
    <w:basedOn w:val="388"/>
    <w:tblPr>
      <w:tblStyleRowBandSize w:val="1"/>
      <w:tblStyleColBandSize w:val="1"/>
      <w:tblCellMar>
        <w:left w:w="100" w:type="dxa"/>
        <w:top w:w="100" w:type="dxa"/>
        <w:right w:w="100" w:type="dxa"/>
        <w:bottom w:w="100" w:type="dxa"/>
      </w:tblCellMar>
    </w:tblPr>
  </w:style>
  <w:style w:type="paragraph" w:styleId="396">
    <w:name w:val="annotation text"/>
    <w:basedOn w:val="378"/>
    <w:link w:val="397"/>
    <w:uiPriority w:val="99"/>
    <w:semiHidden/>
    <w:unhideWhenUsed/>
    <w:rPr>
      <w:sz w:val="20"/>
      <w:szCs w:val="20"/>
    </w:rPr>
  </w:style>
  <w:style w:type="character" w:styleId="397" w:customStyle="1">
    <w:name w:val="Commentaire Car"/>
    <w:basedOn w:val="385"/>
    <w:link w:val="396"/>
    <w:uiPriority w:val="99"/>
    <w:semiHidden/>
    <w:rPr>
      <w:sz w:val="20"/>
      <w:szCs w:val="20"/>
    </w:rPr>
  </w:style>
  <w:style w:type="character" w:styleId="398">
    <w:name w:val="annotation reference"/>
    <w:basedOn w:val="385"/>
    <w:uiPriority w:val="99"/>
    <w:semiHidden/>
    <w:unhideWhenUsed/>
    <w:rPr>
      <w:sz w:val="16"/>
      <w:szCs w:val="16"/>
    </w:rPr>
  </w:style>
  <w:style w:type="paragraph" w:styleId="399">
    <w:name w:val="Balloon Text"/>
    <w:basedOn w:val="378"/>
    <w:link w:val="400"/>
    <w:uiPriority w:val="99"/>
    <w:semiHidden/>
    <w:unhideWhenUsed/>
    <w:rPr>
      <w:rFonts w:ascii="Tahoma" w:hAnsi="Tahoma" w:cs="Tahoma"/>
      <w:sz w:val="16"/>
      <w:szCs w:val="16"/>
    </w:rPr>
  </w:style>
  <w:style w:type="character" w:styleId="400" w:customStyle="1">
    <w:name w:val="Texte de bulles Car"/>
    <w:basedOn w:val="385"/>
    <w:link w:val="399"/>
    <w:uiPriority w:val="99"/>
    <w:semiHidden/>
    <w:rPr>
      <w:rFonts w:ascii="Tahoma" w:hAnsi="Tahoma" w:cs="Tahoma"/>
      <w:sz w:val="16"/>
      <w:szCs w:val="16"/>
    </w:rPr>
  </w:style>
  <w:style w:type="paragraph" w:styleId="401">
    <w:name w:val="List Paragraph"/>
    <w:basedOn w:val="378"/>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ONLYOFFICE/5.4.2.30</Application>
  <Company>Hewlett-Packard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et Régis</dc:creator>
  <cp:revision>3</cp:revision>
  <dcterms:created xsi:type="dcterms:W3CDTF">2020-02-05T22:12:00Z</dcterms:created>
  <dcterms:modified xsi:type="dcterms:W3CDTF">2020-02-12T19:26:33Z</dcterms:modified>
</cp:coreProperties>
</file>